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náplneniu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9963A3" w:rsidP="009963A3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14.10.2019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ED1BDD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Pr="007E1204" w:rsidRDefault="008A78EB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D80018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D80018" w:rsidRPr="00D80018" w:rsidRDefault="00D80018" w:rsidP="00D80018">
            <w:pPr>
              <w:tabs>
                <w:tab w:val="left" w:pos="1114"/>
              </w:tabs>
              <w:spacing w:before="120" w:after="0"/>
              <w:rPr>
                <w:rFonts w:ascii="Times New Roman" w:hAnsi="Times New Roman"/>
                <w:sz w:val="20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/>
              <w:ind w:left="108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Cieľom n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ášho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4.stretnutia bolo </w:t>
            </w:r>
          </w:p>
          <w:p w:rsidR="00D80018" w:rsidRPr="00D80018" w:rsidRDefault="00D80018" w:rsidP="00D80018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proofErr w:type="gram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vytvoriť</w:t>
            </w:r>
            <w:proofErr w:type="spellEnd"/>
            <w:proofErr w:type="gram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prehľad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o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efektívnych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metódach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majú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vplyv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rozvoj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čitateľskej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eastAsia="sk-SK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Pomenovať tieto met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ódy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predstavuje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prvý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krok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k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aplikácii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do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edukačného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procesu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Prostredníctvom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brainstormingu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členovia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klubu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zdieľali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vlastné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skúseností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z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oblasti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využitia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inovatívnych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metód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výučbe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cieľom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zvýšenia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úrovne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čitateľskej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cs="Calibri"/>
                <w:sz w:val="20"/>
                <w:lang w:eastAsia="sk-SK"/>
              </w:rPr>
            </w:pPr>
          </w:p>
          <w:p w:rsidR="00F93F6D" w:rsidRPr="00D80018" w:rsidRDefault="00D80018" w:rsidP="00D80018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Kľ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účové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slová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: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inovatívne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efektívne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metódy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A250F1" w:rsidRPr="007E1204" w:rsidRDefault="00A250F1" w:rsidP="00F93F6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9963A3">
        <w:trPr>
          <w:trHeight w:val="92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305BB" w:rsidRPr="007E1204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body:</w:t>
            </w:r>
          </w:p>
          <w:p w:rsidR="00D80018" w:rsidRPr="00D80018" w:rsidRDefault="00D80018" w:rsidP="00D80018">
            <w:pPr>
              <w:numPr>
                <w:ilvl w:val="0"/>
                <w:numId w:val="21"/>
              </w:numPr>
              <w:tabs>
                <w:tab w:val="left" w:pos="25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Brainstorming</w:t>
            </w:r>
            <w:proofErr w:type="spellEnd"/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 – efekt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ívne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metódy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cieľom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zvýšenia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úrovne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čitateľskej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D80018" w:rsidRPr="00D80018" w:rsidRDefault="00D80018" w:rsidP="00D80018">
            <w:pPr>
              <w:numPr>
                <w:ilvl w:val="0"/>
                <w:numId w:val="21"/>
              </w:numPr>
              <w:tabs>
                <w:tab w:val="left" w:pos="25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Tvorba prehľadu,</w:t>
            </w:r>
          </w:p>
          <w:p w:rsidR="00D80018" w:rsidRPr="00D80018" w:rsidRDefault="00D80018" w:rsidP="00D80018">
            <w:pPr>
              <w:numPr>
                <w:ilvl w:val="0"/>
                <w:numId w:val="21"/>
              </w:numPr>
              <w:tabs>
                <w:tab w:val="left" w:pos="25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Tvorba záveru.</w:t>
            </w:r>
          </w:p>
          <w:p w:rsid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eastAsia="sk-SK"/>
              </w:rPr>
            </w:pP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lastRenderedPageBreak/>
              <w:t>Témy:</w:t>
            </w: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A. Metódy tvorivého písania</w:t>
            </w: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B.  Metódy práce s textom</w:t>
            </w:r>
          </w:p>
          <w:p w:rsid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 w:eastAsia="sk-SK"/>
              </w:rPr>
            </w:pP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i/>
                <w:iCs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i/>
                <w:iCs/>
                <w:sz w:val="20"/>
                <w:lang w:eastAsia="sk-SK"/>
              </w:rPr>
              <w:t>Zhrnutie priebehu stretnutia:</w:t>
            </w: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Členovia klubu podčiarkli tieto funkcie met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ódy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tvorivého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písania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: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Zvyšuje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úroveň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čitateľskej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integruje jazyk a literatúru,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pomáha pri získavaní istoty a sebadôvery,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eliminuje obavy z písania,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odhaľuje 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nevšedn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é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všednom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pestuje obrazotvornosť,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kultivuje čitateľa,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uč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í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myslieť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uč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í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počúvať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samých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seba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svoje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zmysly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D80018" w:rsidRPr="00D80018" w:rsidRDefault="00D80018" w:rsidP="00D80018">
            <w:pPr>
              <w:numPr>
                <w:ilvl w:val="0"/>
                <w:numId w:val="2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je prostriedkom sebapoznávania, sebavyjadrenia a 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sebarozvoja</w:t>
            </w:r>
            <w:proofErr w:type="spellEnd"/>
            <w:r w:rsidRPr="00D80018">
              <w:rPr>
                <w:rFonts w:ascii="Times New Roman" w:hAnsi="Times New Roman"/>
                <w:sz w:val="20"/>
                <w:lang w:eastAsia="sk-SK"/>
              </w:rPr>
              <w:t>.</w:t>
            </w:r>
          </w:p>
          <w:p w:rsidR="00D80018" w:rsidRDefault="00D80018" w:rsidP="00D80018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ascii="Times New Roman" w:hAnsi="Times New Roman"/>
                <w:sz w:val="20"/>
                <w:lang w:eastAsia="sk-SK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Tvorivé písanie má aj charakter činnostne 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orientovan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Takýto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typ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dáva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čas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premýšľanie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„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prežívanie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”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učiva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zdôrazňuje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individualizáciu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diferenciáciu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procese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taktiež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kladie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dôraz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samostatnosť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plánovaní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realizácii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hodnotení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vlastnej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činnosti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Namiesto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vypreparovaných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školských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vedomostí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zbavených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životného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kontextu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majú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žiaci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možnosť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spoznávať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také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stránky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sprevádzajúce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každú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činnosť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ako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ťažkosti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problémy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realizácii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istého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zámeru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zložitosť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konfliktnosť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alebo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rozporuplnosť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skutočností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Činnostne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orientované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učenie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podporuje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rozvoj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socialno-komunikačných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spôsobilostí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–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schopnosť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viesť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dialóg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zdôvodňovať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svoje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stanoviská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pozorne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počúvať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druhého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pod.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Tvorivé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písanie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ma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podobu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prežívaním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nakoľko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počas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tvorivého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procesu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učiaci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aktivizujú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svoj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emocionálny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racionálny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skúsenostný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zážitkový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potenciál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reflektujú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svoje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nálady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vciťujú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do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svojich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imaginatívnych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hrdinov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resp.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postáv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umeleckých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textov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V ďalšej časti diskusie členovia klubu analyzovali ďalšie met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ódy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rozvíjajúce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čitateľskú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gramotnosť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žiaka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–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práca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textom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Svoju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pozornosť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upriamili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:</w:t>
            </w:r>
          </w:p>
          <w:p w:rsidR="00D80018" w:rsidRPr="00D80018" w:rsidRDefault="00D80018" w:rsidP="00D80018">
            <w:pPr>
              <w:numPr>
                <w:ilvl w:val="0"/>
                <w:numId w:val="2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INSERT značky,</w:t>
            </w:r>
          </w:p>
          <w:p w:rsidR="00D80018" w:rsidRPr="00D80018" w:rsidRDefault="00D80018" w:rsidP="00D80018">
            <w:pPr>
              <w:numPr>
                <w:ilvl w:val="0"/>
                <w:numId w:val="2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Kľ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účové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slová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D80018" w:rsidRPr="00D80018" w:rsidRDefault="00D80018" w:rsidP="00D80018">
            <w:pPr>
              <w:numPr>
                <w:ilvl w:val="0"/>
                <w:numId w:val="2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SQ4R a iné.</w:t>
            </w: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lang w:eastAsia="sk-SK"/>
              </w:rPr>
            </w:pPr>
          </w:p>
          <w:p w:rsidR="00D80018" w:rsidRPr="00D80018" w:rsidRDefault="00D80018" w:rsidP="00D80018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i/>
                <w:iCs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i/>
                <w:iCs/>
                <w:sz w:val="20"/>
                <w:lang w:eastAsia="sk-SK"/>
              </w:rPr>
              <w:t>Program stretnutia:</w:t>
            </w:r>
          </w:p>
          <w:p w:rsidR="00D80018" w:rsidRPr="00D80018" w:rsidRDefault="00D80018" w:rsidP="00D80018">
            <w:pPr>
              <w:numPr>
                <w:ilvl w:val="0"/>
                <w:numId w:val="24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Privítanie 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účastn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íkov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pedagogického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klubu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koordinátorom</w:t>
            </w:r>
            <w:proofErr w:type="spellEnd"/>
          </w:p>
          <w:p w:rsidR="00D80018" w:rsidRPr="00D80018" w:rsidRDefault="00D80018" w:rsidP="00D80018">
            <w:pPr>
              <w:numPr>
                <w:ilvl w:val="0"/>
                <w:numId w:val="24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Téma A – 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anal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ýza</w:t>
            </w:r>
            <w:proofErr w:type="spellEnd"/>
          </w:p>
          <w:p w:rsidR="00D80018" w:rsidRPr="00D80018" w:rsidRDefault="00D80018" w:rsidP="00D80018">
            <w:pPr>
              <w:numPr>
                <w:ilvl w:val="0"/>
                <w:numId w:val="24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Téma B – 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anal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ýza</w:t>
            </w:r>
            <w:proofErr w:type="spellEnd"/>
          </w:p>
          <w:p w:rsidR="00D80018" w:rsidRPr="00D80018" w:rsidRDefault="00D80018" w:rsidP="00D80018">
            <w:pPr>
              <w:numPr>
                <w:ilvl w:val="0"/>
                <w:numId w:val="24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Diskusia</w:t>
            </w:r>
          </w:p>
          <w:p w:rsidR="00F305BB" w:rsidRPr="009963A3" w:rsidRDefault="00D80018" w:rsidP="009963A3">
            <w:pPr>
              <w:numPr>
                <w:ilvl w:val="0"/>
                <w:numId w:val="24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>Tvorba záveru stretnutia</w:t>
            </w: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D80018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cs="Calibri"/>
                <w:sz w:val="20"/>
                <w:lang w:eastAsia="sk-SK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D80018">
              <w:rPr>
                <w:rFonts w:ascii="Times New Roman" w:hAnsi="Times New Roman"/>
                <w:sz w:val="20"/>
                <w:lang w:eastAsia="sk-SK"/>
              </w:rPr>
              <w:t xml:space="preserve">Tvorivé písanie je predmetom diskusií mnohých odborníkov z radov pedagógov i psychológov, ktorí sa snažia zakomponovať </w:t>
            </w:r>
            <w:proofErr w:type="spellStart"/>
            <w:r w:rsidRPr="00D80018">
              <w:rPr>
                <w:rFonts w:ascii="Times New Roman" w:hAnsi="Times New Roman"/>
                <w:sz w:val="20"/>
                <w:lang w:eastAsia="sk-SK"/>
              </w:rPr>
              <w:t>kreat</w:t>
            </w:r>
            <w:r w:rsidRPr="00D80018">
              <w:rPr>
                <w:rFonts w:ascii="Times New Roman" w:hAnsi="Times New Roman"/>
                <w:sz w:val="20"/>
                <w:lang w:val="en-US" w:eastAsia="sk-SK"/>
              </w:rPr>
              <w:t>ívne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písanie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do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vyučovacích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osnov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v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základných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školách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Písanie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je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nástrojom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myslenia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Komplexné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rozvíjanie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písania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spočíva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uváženom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systematickom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využívaní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techník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tvorivého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písania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spoločenskovedných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prírodovedných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oblastiach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nielen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jazykovom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či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literárnom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vyučovaní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výchove</w:t>
            </w:r>
            <w:proofErr w:type="spellEnd"/>
            <w:r w:rsidRPr="00D80018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D80018" w:rsidRDefault="00D80018" w:rsidP="00D80018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cs="Calibri"/>
                <w:lang w:eastAsia="sk-SK"/>
              </w:rPr>
            </w:pPr>
          </w:p>
          <w:p w:rsidR="00D80018" w:rsidRP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i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i/>
                <w:sz w:val="20"/>
                <w:lang w:eastAsia="sk-SK"/>
              </w:rPr>
              <w:t xml:space="preserve">Odporúčanie: </w:t>
            </w:r>
          </w:p>
          <w:p w:rsidR="00D80018" w:rsidRPr="00D80018" w:rsidRDefault="00D80018" w:rsidP="00D80018">
            <w:pPr>
              <w:pStyle w:val="Odsekzoznamu"/>
              <w:numPr>
                <w:ilvl w:val="0"/>
                <w:numId w:val="2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D80018">
              <w:rPr>
                <w:rFonts w:ascii="Times New Roman" w:hAnsi="Times New Roman"/>
                <w:lang w:eastAsia="sk-SK"/>
              </w:rPr>
              <w:t>implement</w:t>
            </w:r>
            <w:r w:rsidRPr="00D80018">
              <w:rPr>
                <w:rFonts w:ascii="Times New Roman" w:hAnsi="Times New Roman"/>
                <w:lang w:val="en-US" w:eastAsia="sk-SK"/>
              </w:rPr>
              <w:t>ácia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inovatívnych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metód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do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výučby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>, s 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cieľom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rozvoja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čitateľskej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gramotnosti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žiakov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>.</w:t>
            </w:r>
          </w:p>
          <w:p w:rsidR="006746AD" w:rsidRPr="00D80018" w:rsidRDefault="006746AD" w:rsidP="00D80018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8A78EB" w:rsidRDefault="008A78EB" w:rsidP="00B440DB">
      <w:pPr>
        <w:tabs>
          <w:tab w:val="left" w:pos="1114"/>
        </w:tabs>
        <w:rPr>
          <w:sz w:val="20"/>
        </w:rPr>
      </w:pPr>
    </w:p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7E1204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Adriana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Kuzmová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082607" w:rsidP="00082607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14.10.2019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F93F6D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082607" w:rsidP="00082607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14.10.2019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klubu</w:t>
      </w: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Pr="007E1204" w:rsidRDefault="009963A3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46791" w:rsidRPr="007E1204" w:rsidRDefault="00946791" w:rsidP="00946791">
      <w:pPr>
        <w:rPr>
          <w:rFonts w:ascii="Times New Roman" w:hAnsi="Times New Roman"/>
          <w:sz w:val="20"/>
        </w:rPr>
      </w:pPr>
    </w:p>
    <w:p w:rsidR="009963A3" w:rsidRDefault="009963A3" w:rsidP="00946791">
      <w:pPr>
        <w:pStyle w:val="Nadpis1"/>
        <w:jc w:val="center"/>
        <w:rPr>
          <w:rFonts w:ascii="Times New Roman" w:hAnsi="Times New Roman" w:cs="Times New Roman"/>
          <w:sz w:val="22"/>
          <w:szCs w:val="24"/>
          <w:lang w:val="sk-SK"/>
        </w:rPr>
      </w:pPr>
    </w:p>
    <w:p w:rsidR="007E1204" w:rsidRP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sectPr w:rsidR="00946791" w:rsidRPr="007E1204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DD" w:rsidRDefault="00ED1BDD" w:rsidP="00CF35D8">
      <w:pPr>
        <w:spacing w:after="0" w:line="240" w:lineRule="auto"/>
      </w:pPr>
      <w:r>
        <w:separator/>
      </w:r>
    </w:p>
  </w:endnote>
  <w:endnote w:type="continuationSeparator" w:id="0">
    <w:p w:rsidR="00ED1BDD" w:rsidRDefault="00ED1BD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DD" w:rsidRDefault="00ED1BDD" w:rsidP="00CF35D8">
      <w:pPr>
        <w:spacing w:after="0" w:line="240" w:lineRule="auto"/>
      </w:pPr>
      <w:r>
        <w:separator/>
      </w:r>
    </w:p>
  </w:footnote>
  <w:footnote w:type="continuationSeparator" w:id="0">
    <w:p w:rsidR="00ED1BDD" w:rsidRDefault="00ED1BD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B43A3A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C744E"/>
    <w:multiLevelType w:val="hybridMultilevel"/>
    <w:tmpl w:val="6DCA3C32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946EE9"/>
    <w:multiLevelType w:val="hybridMultilevel"/>
    <w:tmpl w:val="3BAA60C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1B136A80"/>
    <w:multiLevelType w:val="hybridMultilevel"/>
    <w:tmpl w:val="E1D2E4A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DC20D1"/>
    <w:multiLevelType w:val="hybridMultilevel"/>
    <w:tmpl w:val="431C134E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C4B20"/>
    <w:multiLevelType w:val="hybridMultilevel"/>
    <w:tmpl w:val="78F236C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217685"/>
    <w:multiLevelType w:val="hybridMultilevel"/>
    <w:tmpl w:val="468E1CE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19"/>
  </w:num>
  <w:num w:numId="4">
    <w:abstractNumId w:val="21"/>
  </w:num>
  <w:num w:numId="5">
    <w:abstractNumId w:val="20"/>
  </w:num>
  <w:num w:numId="6">
    <w:abstractNumId w:val="8"/>
  </w:num>
  <w:num w:numId="7">
    <w:abstractNumId w:val="7"/>
  </w:num>
  <w:num w:numId="8">
    <w:abstractNumId w:val="11"/>
  </w:num>
  <w:num w:numId="9">
    <w:abstractNumId w:val="22"/>
  </w:num>
  <w:num w:numId="10">
    <w:abstractNumId w:val="18"/>
  </w:num>
  <w:num w:numId="11">
    <w:abstractNumId w:val="14"/>
  </w:num>
  <w:num w:numId="12">
    <w:abstractNumId w:val="24"/>
  </w:num>
  <w:num w:numId="13">
    <w:abstractNumId w:val="12"/>
  </w:num>
  <w:num w:numId="14">
    <w:abstractNumId w:val="6"/>
  </w:num>
  <w:num w:numId="15">
    <w:abstractNumId w:val="3"/>
  </w:num>
  <w:num w:numId="16">
    <w:abstractNumId w:val="9"/>
  </w:num>
  <w:num w:numId="17">
    <w:abstractNumId w:val="16"/>
  </w:num>
  <w:num w:numId="18">
    <w:abstractNumId w:val="10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3"/>
  </w:num>
  <w:num w:numId="21">
    <w:abstractNumId w:val="4"/>
  </w:num>
  <w:num w:numId="22">
    <w:abstractNumId w:val="5"/>
  </w:num>
  <w:num w:numId="23">
    <w:abstractNumId w:val="15"/>
  </w:num>
  <w:num w:numId="24">
    <w:abstractNumId w:val="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08AA"/>
    <w:rsid w:val="00043125"/>
    <w:rsid w:val="00053B89"/>
    <w:rsid w:val="00080BC9"/>
    <w:rsid w:val="00082607"/>
    <w:rsid w:val="00083A68"/>
    <w:rsid w:val="000B56D0"/>
    <w:rsid w:val="000E6FBF"/>
    <w:rsid w:val="000F127B"/>
    <w:rsid w:val="00137050"/>
    <w:rsid w:val="00151F6C"/>
    <w:rsid w:val="001544C0"/>
    <w:rsid w:val="001620FF"/>
    <w:rsid w:val="00166110"/>
    <w:rsid w:val="001745A4"/>
    <w:rsid w:val="00195BD6"/>
    <w:rsid w:val="001A5EA2"/>
    <w:rsid w:val="001B69AF"/>
    <w:rsid w:val="001D498E"/>
    <w:rsid w:val="00203036"/>
    <w:rsid w:val="00225CD9"/>
    <w:rsid w:val="002D7F9B"/>
    <w:rsid w:val="002D7FC6"/>
    <w:rsid w:val="002E3F1A"/>
    <w:rsid w:val="0034733D"/>
    <w:rsid w:val="003700F7"/>
    <w:rsid w:val="003B6B4A"/>
    <w:rsid w:val="003F10E0"/>
    <w:rsid w:val="00423CC3"/>
    <w:rsid w:val="00446402"/>
    <w:rsid w:val="00494504"/>
    <w:rsid w:val="004C05D7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74D86"/>
    <w:rsid w:val="006A3977"/>
    <w:rsid w:val="006B6CBE"/>
    <w:rsid w:val="006E77C5"/>
    <w:rsid w:val="00755363"/>
    <w:rsid w:val="007A5170"/>
    <w:rsid w:val="007A6CFA"/>
    <w:rsid w:val="007B6C7D"/>
    <w:rsid w:val="007E1204"/>
    <w:rsid w:val="008058B8"/>
    <w:rsid w:val="008721DB"/>
    <w:rsid w:val="008A78EB"/>
    <w:rsid w:val="008C3B1D"/>
    <w:rsid w:val="008C3C41"/>
    <w:rsid w:val="008F219E"/>
    <w:rsid w:val="00946791"/>
    <w:rsid w:val="009963A3"/>
    <w:rsid w:val="009A1D6B"/>
    <w:rsid w:val="009C3018"/>
    <w:rsid w:val="009F4F76"/>
    <w:rsid w:val="00A2084A"/>
    <w:rsid w:val="00A250F1"/>
    <w:rsid w:val="00A71E3A"/>
    <w:rsid w:val="00A9043F"/>
    <w:rsid w:val="00A9208D"/>
    <w:rsid w:val="00AB111C"/>
    <w:rsid w:val="00AF5989"/>
    <w:rsid w:val="00B440DB"/>
    <w:rsid w:val="00B71530"/>
    <w:rsid w:val="00BB5601"/>
    <w:rsid w:val="00BF2F35"/>
    <w:rsid w:val="00BF4683"/>
    <w:rsid w:val="00BF4792"/>
    <w:rsid w:val="00C00194"/>
    <w:rsid w:val="00C065E1"/>
    <w:rsid w:val="00C80D4B"/>
    <w:rsid w:val="00CA0B4D"/>
    <w:rsid w:val="00CA771E"/>
    <w:rsid w:val="00CD7D64"/>
    <w:rsid w:val="00CF35D8"/>
    <w:rsid w:val="00D0796E"/>
    <w:rsid w:val="00D249F9"/>
    <w:rsid w:val="00D4121A"/>
    <w:rsid w:val="00D5619C"/>
    <w:rsid w:val="00D80018"/>
    <w:rsid w:val="00DA6ABC"/>
    <w:rsid w:val="00DD1AA4"/>
    <w:rsid w:val="00DE5A3C"/>
    <w:rsid w:val="00E36C97"/>
    <w:rsid w:val="00E926D8"/>
    <w:rsid w:val="00EC5730"/>
    <w:rsid w:val="00ED1BDD"/>
    <w:rsid w:val="00EE6BD6"/>
    <w:rsid w:val="00EF6F84"/>
    <w:rsid w:val="00F305BB"/>
    <w:rsid w:val="00F36E61"/>
    <w:rsid w:val="00F61779"/>
    <w:rsid w:val="00F93F6D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2019-09-23T08:14:00Z</cp:lastPrinted>
  <dcterms:created xsi:type="dcterms:W3CDTF">2020-03-13T08:45:00Z</dcterms:created>
  <dcterms:modified xsi:type="dcterms:W3CDTF">2020-03-13T08:45:00Z</dcterms:modified>
</cp:coreProperties>
</file>